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21" w:rsidRPr="00C6233B" w:rsidRDefault="00FF4E55" w:rsidP="00516F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056521" w:rsidRPr="00C6233B">
        <w:rPr>
          <w:rFonts w:ascii="Arial" w:hAnsi="Arial" w:cs="Arial"/>
          <w:bCs/>
          <w:spacing w:val="-3"/>
          <w:sz w:val="22"/>
          <w:szCs w:val="22"/>
        </w:rPr>
        <w:t xml:space="preserve"> February 2015, the Special Taskforce on Domestic and Family Violence provided its report, </w:t>
      </w:r>
      <w:r w:rsidR="00056521" w:rsidRPr="00C6233B">
        <w:rPr>
          <w:rFonts w:ascii="Arial" w:hAnsi="Arial" w:cs="Arial"/>
          <w:bCs/>
          <w:i/>
          <w:spacing w:val="-3"/>
          <w:sz w:val="22"/>
          <w:szCs w:val="22"/>
        </w:rPr>
        <w:t>Not Now, Not Ever: Putting an End to Domestic Violence in Queensland</w:t>
      </w:r>
      <w:r w:rsidR="00056521" w:rsidRPr="00C6233B">
        <w:rPr>
          <w:rFonts w:ascii="Arial" w:hAnsi="Arial" w:cs="Arial"/>
          <w:bCs/>
          <w:spacing w:val="-3"/>
          <w:sz w:val="22"/>
          <w:szCs w:val="22"/>
        </w:rPr>
        <w:t xml:space="preserve"> (the report) to the Honourable Annastacia Palaszczuk MP, Premier and Minister for the Arts.</w:t>
      </w:r>
      <w:r w:rsidR="00C6233B" w:rsidRPr="00C6233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16F8C">
        <w:rPr>
          <w:rFonts w:ascii="Arial" w:hAnsi="Arial" w:cs="Arial"/>
          <w:bCs/>
          <w:spacing w:val="-3"/>
          <w:sz w:val="22"/>
          <w:szCs w:val="22"/>
        </w:rPr>
        <w:t>The report contains 140 </w:t>
      </w:r>
      <w:r w:rsidR="00056521" w:rsidRPr="00C6233B">
        <w:rPr>
          <w:rFonts w:ascii="Arial" w:hAnsi="Arial" w:cs="Arial"/>
          <w:bCs/>
          <w:spacing w:val="-3"/>
          <w:sz w:val="22"/>
          <w:szCs w:val="22"/>
        </w:rPr>
        <w:t xml:space="preserve">recommendations on how the Government and the Queensland community can better address and reduce domestic and family violence.  </w:t>
      </w:r>
    </w:p>
    <w:p w:rsidR="00056521" w:rsidRDefault="00FF4E55" w:rsidP="00516F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056521" w:rsidRPr="00056521">
        <w:rPr>
          <w:rFonts w:ascii="Arial" w:hAnsi="Arial" w:cs="Arial"/>
          <w:bCs/>
          <w:spacing w:val="-3"/>
          <w:sz w:val="22"/>
          <w:szCs w:val="22"/>
        </w:rPr>
        <w:t xml:space="preserve"> August 2015, the Queensland Government released its response to the report. All </w:t>
      </w:r>
      <w:r w:rsidR="00516F8C">
        <w:rPr>
          <w:rFonts w:ascii="Arial" w:hAnsi="Arial" w:cs="Arial"/>
          <w:bCs/>
          <w:spacing w:val="-3"/>
          <w:sz w:val="22"/>
          <w:szCs w:val="22"/>
        </w:rPr>
        <w:t>121 </w:t>
      </w:r>
      <w:r w:rsidR="00056521" w:rsidRPr="00056521">
        <w:rPr>
          <w:rFonts w:ascii="Arial" w:hAnsi="Arial" w:cs="Arial"/>
          <w:bCs/>
          <w:spacing w:val="-3"/>
          <w:sz w:val="22"/>
          <w:szCs w:val="22"/>
        </w:rPr>
        <w:t xml:space="preserve">Taskforce recommendations directed to Government </w:t>
      </w:r>
      <w:r w:rsidR="005A0D8B">
        <w:rPr>
          <w:rFonts w:ascii="Arial" w:hAnsi="Arial" w:cs="Arial"/>
          <w:bCs/>
          <w:spacing w:val="-3"/>
          <w:sz w:val="22"/>
          <w:szCs w:val="22"/>
        </w:rPr>
        <w:t>were</w:t>
      </w:r>
      <w:r w:rsidR="00056521" w:rsidRPr="00056521">
        <w:rPr>
          <w:rFonts w:ascii="Arial" w:hAnsi="Arial" w:cs="Arial"/>
          <w:bCs/>
          <w:spacing w:val="-3"/>
          <w:sz w:val="22"/>
          <w:szCs w:val="22"/>
        </w:rPr>
        <w:t xml:space="preserve"> accepted, and the Queensland Government indicated support for the 19 recommendations directed to the non-Government sector.</w:t>
      </w:r>
    </w:p>
    <w:p w:rsidR="00EB601E" w:rsidRPr="00C6233B" w:rsidRDefault="00056521" w:rsidP="00516F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6233B">
        <w:rPr>
          <w:rFonts w:ascii="Arial" w:hAnsi="Arial" w:cs="Arial"/>
          <w:bCs/>
          <w:spacing w:val="-3"/>
          <w:sz w:val="22"/>
          <w:szCs w:val="22"/>
        </w:rPr>
        <w:t xml:space="preserve">A number of recommendations are aimed at ensuring that perpetrators of domestic and family violence are appropriately held to account for their offending. </w:t>
      </w:r>
      <w:r w:rsidRPr="00702962">
        <w:rPr>
          <w:rFonts w:ascii="Arial" w:hAnsi="Arial" w:cs="Arial"/>
          <w:bCs/>
          <w:spacing w:val="-3"/>
          <w:sz w:val="22"/>
          <w:szCs w:val="22"/>
        </w:rPr>
        <w:t>Recommendations 118 and 120</w:t>
      </w:r>
      <w:r w:rsidRPr="0020340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6233B">
        <w:rPr>
          <w:rFonts w:ascii="Arial" w:hAnsi="Arial" w:cs="Arial"/>
          <w:bCs/>
          <w:spacing w:val="-3"/>
          <w:sz w:val="22"/>
          <w:szCs w:val="22"/>
        </w:rPr>
        <w:t>relate specifically to criminal law reform.</w:t>
      </w:r>
      <w:r w:rsidR="00C6233B" w:rsidRPr="00C6233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B601E" w:rsidRPr="00C6233B">
        <w:rPr>
          <w:rFonts w:ascii="Arial" w:hAnsi="Arial" w:cs="Arial"/>
          <w:bCs/>
          <w:spacing w:val="-3"/>
          <w:sz w:val="22"/>
          <w:szCs w:val="22"/>
        </w:rPr>
        <w:t xml:space="preserve">These recommendations provide that the Queensland Government: </w:t>
      </w:r>
    </w:p>
    <w:p w:rsidR="00C6233B" w:rsidRDefault="00516F8C" w:rsidP="00516F8C">
      <w:pPr>
        <w:pStyle w:val="ListParagraph"/>
        <w:numPr>
          <w:ilvl w:val="0"/>
          <w:numId w:val="4"/>
        </w:numPr>
        <w:spacing w:before="120"/>
        <w:ind w:left="709" w:hanging="283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</w:t>
      </w:r>
      <w:r w:rsidR="00EB601E" w:rsidRPr="00EB601E">
        <w:rPr>
          <w:rFonts w:ascii="Arial" w:hAnsi="Arial" w:cs="Arial"/>
          <w:bCs/>
          <w:spacing w:val="-3"/>
          <w:sz w:val="22"/>
          <w:szCs w:val="22"/>
        </w:rPr>
        <w:t>ntroduce a circumstance of aggravation of domestic and family violence to be applied to all criminal offences (</w:t>
      </w:r>
      <w:r w:rsidR="00EB601E" w:rsidRPr="00702962">
        <w:rPr>
          <w:rFonts w:ascii="Arial" w:hAnsi="Arial" w:cs="Arial"/>
          <w:bCs/>
          <w:spacing w:val="-3"/>
          <w:sz w:val="22"/>
          <w:szCs w:val="22"/>
        </w:rPr>
        <w:t>Recommendation 118</w:t>
      </w:r>
      <w:r w:rsidR="00EB601E" w:rsidRPr="00EB601E">
        <w:rPr>
          <w:rFonts w:ascii="Arial" w:hAnsi="Arial" w:cs="Arial"/>
          <w:bCs/>
          <w:spacing w:val="-3"/>
          <w:sz w:val="22"/>
          <w:szCs w:val="22"/>
        </w:rPr>
        <w:t>); and</w:t>
      </w:r>
    </w:p>
    <w:p w:rsidR="00056521" w:rsidRPr="00C6233B" w:rsidRDefault="00516F8C" w:rsidP="00516F8C">
      <w:pPr>
        <w:pStyle w:val="ListParagraph"/>
        <w:numPr>
          <w:ilvl w:val="0"/>
          <w:numId w:val="4"/>
        </w:numPr>
        <w:spacing w:before="120"/>
        <w:ind w:left="709" w:hanging="283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</w:t>
      </w:r>
      <w:r w:rsidR="00EB601E" w:rsidRPr="00C6233B">
        <w:rPr>
          <w:rFonts w:ascii="Arial" w:hAnsi="Arial" w:cs="Arial"/>
          <w:bCs/>
          <w:spacing w:val="-3"/>
          <w:sz w:val="22"/>
          <w:szCs w:val="22"/>
        </w:rPr>
        <w:t>onsider the creation of a specific offence of strangulation (</w:t>
      </w:r>
      <w:r w:rsidR="00EB601E" w:rsidRPr="00702962">
        <w:rPr>
          <w:rFonts w:ascii="Arial" w:hAnsi="Arial" w:cs="Arial"/>
          <w:bCs/>
          <w:spacing w:val="-3"/>
          <w:sz w:val="22"/>
          <w:szCs w:val="22"/>
        </w:rPr>
        <w:t>Recommendation 120</w:t>
      </w:r>
      <w:r w:rsidR="00EB601E" w:rsidRPr="00C6233B">
        <w:rPr>
          <w:rFonts w:ascii="Arial" w:hAnsi="Arial" w:cs="Arial"/>
          <w:bCs/>
          <w:spacing w:val="-3"/>
          <w:sz w:val="22"/>
          <w:szCs w:val="22"/>
        </w:rPr>
        <w:t>).</w:t>
      </w:r>
    </w:p>
    <w:p w:rsidR="00C6233B" w:rsidRPr="00C6233B" w:rsidRDefault="00C6233B" w:rsidP="00516F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6233B">
        <w:rPr>
          <w:rFonts w:ascii="Arial" w:hAnsi="Arial" w:cs="Arial"/>
          <w:bCs/>
          <w:spacing w:val="-3"/>
          <w:sz w:val="22"/>
          <w:szCs w:val="22"/>
        </w:rPr>
        <w:t>Between 12</w:t>
      </w:r>
      <w:r w:rsidR="00516F8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6233B">
        <w:rPr>
          <w:rFonts w:ascii="Arial" w:hAnsi="Arial" w:cs="Arial"/>
          <w:bCs/>
          <w:spacing w:val="-3"/>
          <w:sz w:val="22"/>
          <w:szCs w:val="22"/>
        </w:rPr>
        <w:t xml:space="preserve">October 2015 and 20 November 2015, consultation </w:t>
      </w:r>
      <w:r w:rsidR="00411A0B">
        <w:rPr>
          <w:rFonts w:ascii="Arial" w:hAnsi="Arial" w:cs="Arial"/>
          <w:bCs/>
          <w:spacing w:val="-3"/>
          <w:sz w:val="22"/>
          <w:szCs w:val="22"/>
        </w:rPr>
        <w:t xml:space="preserve">with stakeholders </w:t>
      </w:r>
      <w:r w:rsidRPr="00C6233B">
        <w:rPr>
          <w:rFonts w:ascii="Arial" w:hAnsi="Arial" w:cs="Arial"/>
          <w:bCs/>
          <w:spacing w:val="-3"/>
          <w:sz w:val="22"/>
          <w:szCs w:val="22"/>
        </w:rPr>
        <w:t>was undertaken</w:t>
      </w:r>
      <w:r w:rsidR="00411A0B">
        <w:rPr>
          <w:rFonts w:ascii="Arial" w:hAnsi="Arial" w:cs="Arial"/>
          <w:bCs/>
          <w:spacing w:val="-3"/>
          <w:sz w:val="22"/>
          <w:szCs w:val="22"/>
        </w:rPr>
        <w:t xml:space="preserve"> to find the best means </w:t>
      </w:r>
      <w:r w:rsidR="0005361E">
        <w:rPr>
          <w:rFonts w:ascii="Arial" w:hAnsi="Arial" w:cs="Arial"/>
          <w:bCs/>
          <w:spacing w:val="-3"/>
          <w:sz w:val="22"/>
          <w:szCs w:val="22"/>
        </w:rPr>
        <w:t xml:space="preserve">of giving effect to </w:t>
      </w:r>
      <w:r w:rsidR="00411A0B">
        <w:rPr>
          <w:rFonts w:ascii="Arial" w:hAnsi="Arial" w:cs="Arial"/>
          <w:bCs/>
          <w:spacing w:val="-3"/>
          <w:sz w:val="22"/>
          <w:szCs w:val="22"/>
        </w:rPr>
        <w:t>these recommendations</w:t>
      </w:r>
      <w:r w:rsidRPr="00C6233B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010732" w:rsidRPr="00056521" w:rsidRDefault="00010732" w:rsidP="00516F8C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652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2B26B7" w:rsidRPr="00056521">
        <w:rPr>
          <w:rFonts w:ascii="Arial" w:hAnsi="Arial" w:cs="Arial"/>
          <w:bCs/>
          <w:spacing w:val="-3"/>
          <w:sz w:val="22"/>
          <w:szCs w:val="22"/>
        </w:rPr>
        <w:t>Criminal Law (Domestic Violence) Amendment Bill (No.</w:t>
      </w:r>
      <w:r w:rsidR="000D26A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B26B7" w:rsidRPr="00056521">
        <w:rPr>
          <w:rFonts w:ascii="Arial" w:hAnsi="Arial" w:cs="Arial"/>
          <w:bCs/>
          <w:spacing w:val="-3"/>
          <w:sz w:val="22"/>
          <w:szCs w:val="22"/>
        </w:rPr>
        <w:t xml:space="preserve">2) </w:t>
      </w:r>
      <w:r w:rsidRPr="00056521">
        <w:rPr>
          <w:rFonts w:ascii="Arial" w:hAnsi="Arial" w:cs="Arial"/>
          <w:bCs/>
          <w:spacing w:val="-3"/>
          <w:sz w:val="22"/>
          <w:szCs w:val="22"/>
        </w:rPr>
        <w:t xml:space="preserve">2015 </w:t>
      </w:r>
      <w:r w:rsidR="005A0D8B">
        <w:rPr>
          <w:rFonts w:ascii="Arial" w:hAnsi="Arial" w:cs="Arial"/>
          <w:bCs/>
          <w:spacing w:val="-3"/>
          <w:sz w:val="22"/>
          <w:szCs w:val="22"/>
        </w:rPr>
        <w:t>gives</w:t>
      </w:r>
      <w:r w:rsidRPr="00056521">
        <w:rPr>
          <w:rFonts w:ascii="Arial" w:hAnsi="Arial" w:cs="Arial"/>
          <w:bCs/>
          <w:spacing w:val="-3"/>
          <w:sz w:val="22"/>
          <w:szCs w:val="22"/>
        </w:rPr>
        <w:t xml:space="preserve"> effect to </w:t>
      </w:r>
      <w:r w:rsidR="002B26B7" w:rsidRPr="00056521">
        <w:rPr>
          <w:rFonts w:ascii="Arial" w:hAnsi="Arial" w:cs="Arial"/>
          <w:bCs/>
          <w:spacing w:val="-3"/>
          <w:sz w:val="22"/>
          <w:szCs w:val="22"/>
        </w:rPr>
        <w:t xml:space="preserve">Taskforce </w:t>
      </w:r>
      <w:r w:rsidR="002B26B7" w:rsidRPr="00702962">
        <w:rPr>
          <w:rFonts w:ascii="Arial" w:hAnsi="Arial" w:cs="Arial"/>
          <w:bCs/>
          <w:spacing w:val="-3"/>
          <w:sz w:val="22"/>
          <w:szCs w:val="22"/>
        </w:rPr>
        <w:t>recommendations 118</w:t>
      </w:r>
      <w:r w:rsidR="002B64A4" w:rsidRPr="00702962">
        <w:rPr>
          <w:rFonts w:ascii="Arial" w:hAnsi="Arial" w:cs="Arial"/>
          <w:bCs/>
          <w:spacing w:val="-3"/>
          <w:sz w:val="22"/>
          <w:szCs w:val="22"/>
        </w:rPr>
        <w:t xml:space="preserve"> and 120</w:t>
      </w:r>
      <w:r w:rsidR="00EB601E" w:rsidRPr="00056521">
        <w:rPr>
          <w:rFonts w:ascii="Arial" w:hAnsi="Arial" w:cs="Arial"/>
          <w:bCs/>
          <w:spacing w:val="-3"/>
          <w:sz w:val="22"/>
          <w:szCs w:val="22"/>
        </w:rPr>
        <w:t xml:space="preserve"> by</w:t>
      </w:r>
      <w:r w:rsidR="005A0D8B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010732" w:rsidRPr="00411A0B" w:rsidRDefault="00D212E6" w:rsidP="00516F8C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amending section 9 of the </w:t>
      </w:r>
      <w:r w:rsidRPr="002F6298">
        <w:rPr>
          <w:rFonts w:ascii="Arial" w:eastAsia="Times New Roman" w:hAnsi="Arial" w:cs="Arial"/>
          <w:i/>
          <w:sz w:val="22"/>
          <w:szCs w:val="22"/>
        </w:rPr>
        <w:t>Penal</w:t>
      </w:r>
      <w:r w:rsidR="002B64A4" w:rsidRPr="002F6298">
        <w:rPr>
          <w:rFonts w:ascii="Arial" w:eastAsia="Times New Roman" w:hAnsi="Arial" w:cs="Arial"/>
          <w:i/>
          <w:sz w:val="22"/>
          <w:szCs w:val="22"/>
        </w:rPr>
        <w:t>t</w:t>
      </w:r>
      <w:r w:rsidRPr="002F6298">
        <w:rPr>
          <w:rFonts w:ascii="Arial" w:eastAsia="Times New Roman" w:hAnsi="Arial" w:cs="Arial"/>
          <w:i/>
          <w:sz w:val="22"/>
          <w:szCs w:val="22"/>
        </w:rPr>
        <w:t xml:space="preserve">ies and Sentences Act </w:t>
      </w:r>
      <w:r w:rsidR="002F6298" w:rsidRPr="00B272AC">
        <w:rPr>
          <w:rFonts w:ascii="Arial" w:hAnsi="Arial" w:cs="Arial"/>
          <w:bCs/>
          <w:i/>
          <w:spacing w:val="-3"/>
          <w:sz w:val="22"/>
          <w:szCs w:val="22"/>
        </w:rPr>
        <w:t>1992</w:t>
      </w:r>
      <w:r w:rsidR="002F6298" w:rsidRPr="00411A0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11A0B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2F6298" w:rsidRPr="00411A0B">
        <w:rPr>
          <w:rFonts w:ascii="Arial" w:hAnsi="Arial" w:cs="Arial"/>
          <w:bCs/>
          <w:spacing w:val="-3"/>
          <w:sz w:val="22"/>
          <w:szCs w:val="22"/>
        </w:rPr>
        <w:t>make provision for domestic and family violence</w:t>
      </w:r>
      <w:r w:rsidR="0005361E">
        <w:rPr>
          <w:rFonts w:ascii="Arial" w:hAnsi="Arial" w:cs="Arial"/>
          <w:bCs/>
          <w:spacing w:val="-3"/>
          <w:sz w:val="22"/>
          <w:szCs w:val="22"/>
        </w:rPr>
        <w:t xml:space="preserve"> as</w:t>
      </w:r>
      <w:r w:rsidR="002F6298" w:rsidRPr="00411A0B">
        <w:rPr>
          <w:rFonts w:ascii="Arial" w:hAnsi="Arial" w:cs="Arial"/>
          <w:bCs/>
          <w:spacing w:val="-3"/>
          <w:sz w:val="22"/>
          <w:szCs w:val="22"/>
        </w:rPr>
        <w:t xml:space="preserve"> an aggravating factor on sentence</w:t>
      </w:r>
      <w:r w:rsidR="00A920DC" w:rsidRPr="00411A0B">
        <w:rPr>
          <w:rFonts w:ascii="Arial" w:hAnsi="Arial" w:cs="Arial"/>
          <w:bCs/>
          <w:spacing w:val="-3"/>
          <w:sz w:val="22"/>
          <w:szCs w:val="22"/>
        </w:rPr>
        <w:t>; and</w:t>
      </w:r>
    </w:p>
    <w:p w:rsidR="00A920DC" w:rsidRPr="00904059" w:rsidRDefault="002F6298" w:rsidP="00516F8C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creating </w:t>
      </w:r>
      <w:r w:rsidR="00A920DC">
        <w:rPr>
          <w:rFonts w:ascii="Arial" w:eastAsia="Times New Roman" w:hAnsi="Arial" w:cs="Arial"/>
          <w:sz w:val="22"/>
          <w:szCs w:val="22"/>
        </w:rPr>
        <w:t xml:space="preserve">a </w:t>
      </w:r>
      <w:r>
        <w:rPr>
          <w:rFonts w:ascii="Arial" w:eastAsia="Times New Roman" w:hAnsi="Arial" w:cs="Arial"/>
          <w:sz w:val="22"/>
          <w:szCs w:val="22"/>
        </w:rPr>
        <w:t xml:space="preserve">new </w:t>
      </w:r>
      <w:r w:rsidR="00565A3F">
        <w:rPr>
          <w:rFonts w:ascii="Arial" w:eastAsia="Times New Roman" w:hAnsi="Arial" w:cs="Arial"/>
          <w:sz w:val="22"/>
          <w:szCs w:val="22"/>
        </w:rPr>
        <w:t xml:space="preserve">Criminal Code </w:t>
      </w:r>
      <w:r w:rsidR="00A920DC">
        <w:rPr>
          <w:rFonts w:ascii="Arial" w:eastAsia="Times New Roman" w:hAnsi="Arial" w:cs="Arial"/>
          <w:sz w:val="22"/>
          <w:szCs w:val="22"/>
        </w:rPr>
        <w:t xml:space="preserve">offence of </w:t>
      </w:r>
      <w:r w:rsidR="00565A3F">
        <w:rPr>
          <w:rFonts w:ascii="Arial" w:eastAsia="Times New Roman" w:hAnsi="Arial" w:cs="Arial"/>
          <w:sz w:val="22"/>
          <w:szCs w:val="22"/>
        </w:rPr>
        <w:t xml:space="preserve">choking, suffocation or strangulation in a domestic setting, </w:t>
      </w:r>
      <w:r w:rsidR="00A920DC">
        <w:rPr>
          <w:rFonts w:ascii="Arial" w:eastAsia="Times New Roman" w:hAnsi="Arial" w:cs="Arial"/>
          <w:sz w:val="22"/>
          <w:szCs w:val="22"/>
        </w:rPr>
        <w:t>punishable by a maximum period of seven years imprisonment.</w:t>
      </w:r>
    </w:p>
    <w:p w:rsidR="002F6298" w:rsidRPr="002F6298" w:rsidRDefault="002F6298" w:rsidP="00516F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056521">
        <w:rPr>
          <w:rFonts w:ascii="Arial" w:hAnsi="Arial" w:cs="Arial"/>
          <w:bCs/>
          <w:spacing w:val="-3"/>
          <w:sz w:val="22"/>
          <w:szCs w:val="22"/>
        </w:rPr>
        <w:t>Criminal Law (Domestic Violence) Amendment Bill (No.</w:t>
      </w:r>
      <w:r w:rsidR="000D26A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56521">
        <w:rPr>
          <w:rFonts w:ascii="Arial" w:hAnsi="Arial" w:cs="Arial"/>
          <w:bCs/>
          <w:spacing w:val="-3"/>
          <w:sz w:val="22"/>
          <w:szCs w:val="22"/>
        </w:rPr>
        <w:t xml:space="preserve">2) 2015 </w:t>
      </w:r>
      <w:r w:rsidR="0042150C">
        <w:rPr>
          <w:rFonts w:ascii="Arial" w:hAnsi="Arial" w:cs="Arial"/>
          <w:bCs/>
          <w:spacing w:val="-3"/>
          <w:sz w:val="22"/>
          <w:szCs w:val="22"/>
        </w:rPr>
        <w:t xml:space="preserve">also contains </w:t>
      </w:r>
      <w:r>
        <w:rPr>
          <w:rFonts w:ascii="Arial" w:hAnsi="Arial" w:cs="Arial"/>
          <w:bCs/>
          <w:spacing w:val="-3"/>
          <w:sz w:val="22"/>
          <w:szCs w:val="22"/>
        </w:rPr>
        <w:t>amendment</w:t>
      </w:r>
      <w:r w:rsidR="0042150C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the </w:t>
      </w:r>
      <w:r w:rsidRPr="002F6298">
        <w:rPr>
          <w:rFonts w:ascii="Arial" w:hAnsi="Arial" w:cs="Arial"/>
          <w:bCs/>
          <w:i/>
          <w:spacing w:val="-3"/>
          <w:sz w:val="22"/>
          <w:szCs w:val="22"/>
        </w:rPr>
        <w:t>Penalties and Sentences Act 1992</w:t>
      </w:r>
      <w:r w:rsidRPr="002F629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2150C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42150C">
        <w:rPr>
          <w:rFonts w:ascii="Arial" w:hAnsi="Arial" w:cs="Arial"/>
          <w:bCs/>
          <w:i/>
          <w:spacing w:val="-3"/>
          <w:sz w:val="22"/>
          <w:szCs w:val="22"/>
        </w:rPr>
        <w:t xml:space="preserve">Youth Justice Act 1992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ensure that </w:t>
      </w:r>
      <w:r w:rsidRPr="002F6298">
        <w:rPr>
          <w:rFonts w:ascii="Arial" w:hAnsi="Arial" w:cs="Arial"/>
          <w:bCs/>
          <w:spacing w:val="-3"/>
          <w:sz w:val="22"/>
          <w:szCs w:val="22"/>
        </w:rPr>
        <w:t xml:space="preserve">a court </w:t>
      </w:r>
      <w:r w:rsidR="0042150C">
        <w:rPr>
          <w:rFonts w:ascii="Arial" w:hAnsi="Arial" w:cs="Arial"/>
          <w:bCs/>
          <w:spacing w:val="-3"/>
          <w:sz w:val="22"/>
          <w:szCs w:val="22"/>
        </w:rPr>
        <w:t>can</w:t>
      </w:r>
      <w:r w:rsidRPr="002F6298">
        <w:rPr>
          <w:rFonts w:ascii="Arial" w:hAnsi="Arial" w:cs="Arial"/>
          <w:bCs/>
          <w:spacing w:val="-3"/>
          <w:sz w:val="22"/>
          <w:szCs w:val="22"/>
        </w:rPr>
        <w:t xml:space="preserve"> receive submissions from the prosecutor and defendant as to the appropriate sentence or sentence range that should be imposed.</w:t>
      </w:r>
    </w:p>
    <w:p w:rsidR="00010732" w:rsidRPr="00195CC5" w:rsidRDefault="00010732" w:rsidP="00516F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95CC5">
        <w:rPr>
          <w:rFonts w:ascii="Arial" w:hAnsi="Arial" w:cs="Arial"/>
          <w:sz w:val="22"/>
          <w:szCs w:val="22"/>
          <w:u w:val="single"/>
        </w:rPr>
        <w:t>Cabinet approved</w:t>
      </w:r>
      <w:r w:rsidRPr="00195CC5">
        <w:rPr>
          <w:rFonts w:ascii="Arial" w:hAnsi="Arial" w:cs="Arial"/>
          <w:sz w:val="22"/>
          <w:szCs w:val="22"/>
        </w:rPr>
        <w:t xml:space="preserve"> the introduction of the </w:t>
      </w:r>
      <w:r w:rsidR="00195CC5" w:rsidRPr="00195CC5">
        <w:rPr>
          <w:rFonts w:ascii="Arial" w:hAnsi="Arial" w:cs="Arial"/>
          <w:sz w:val="22"/>
          <w:szCs w:val="22"/>
        </w:rPr>
        <w:t>Criminal Law (Domestic Violence) Amendment Bill (No.</w:t>
      </w:r>
      <w:r w:rsidR="000D26AA">
        <w:rPr>
          <w:rFonts w:ascii="Arial" w:hAnsi="Arial" w:cs="Arial"/>
          <w:sz w:val="22"/>
          <w:szCs w:val="22"/>
        </w:rPr>
        <w:t xml:space="preserve"> </w:t>
      </w:r>
      <w:r w:rsidR="00195CC5" w:rsidRPr="00195CC5">
        <w:rPr>
          <w:rFonts w:ascii="Arial" w:hAnsi="Arial" w:cs="Arial"/>
          <w:sz w:val="22"/>
          <w:szCs w:val="22"/>
        </w:rPr>
        <w:t xml:space="preserve">2) </w:t>
      </w:r>
      <w:r w:rsidRPr="00195CC5">
        <w:rPr>
          <w:rFonts w:ascii="Arial" w:hAnsi="Arial" w:cs="Arial"/>
          <w:sz w:val="22"/>
          <w:szCs w:val="22"/>
        </w:rPr>
        <w:t>2015</w:t>
      </w:r>
      <w:r w:rsidR="00516F8C">
        <w:rPr>
          <w:rFonts w:ascii="Arial" w:hAnsi="Arial" w:cs="Arial"/>
          <w:sz w:val="22"/>
          <w:szCs w:val="22"/>
        </w:rPr>
        <w:t xml:space="preserve"> into the Legislative Assembly</w:t>
      </w:r>
      <w:r w:rsidRPr="00195CC5">
        <w:rPr>
          <w:rFonts w:ascii="Arial" w:hAnsi="Arial" w:cs="Arial"/>
          <w:sz w:val="22"/>
          <w:szCs w:val="22"/>
        </w:rPr>
        <w:t>.</w:t>
      </w:r>
    </w:p>
    <w:p w:rsidR="00E973BC" w:rsidRPr="00C07656" w:rsidRDefault="00010732" w:rsidP="00516F8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</w:t>
      </w:r>
      <w:r w:rsidR="00516F8C">
        <w:rPr>
          <w:rFonts w:ascii="Arial" w:hAnsi="Arial" w:cs="Arial"/>
          <w:i/>
          <w:sz w:val="22"/>
          <w:szCs w:val="22"/>
          <w:u w:val="single"/>
        </w:rPr>
        <w:t>ts</w:t>
      </w:r>
    </w:p>
    <w:p w:rsidR="00E973BC" w:rsidRDefault="00E6653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95CC5" w:rsidRPr="00756048">
          <w:rPr>
            <w:rStyle w:val="Hyperlink"/>
            <w:rFonts w:ascii="Arial" w:hAnsi="Arial" w:cs="Arial"/>
            <w:sz w:val="22"/>
            <w:szCs w:val="22"/>
          </w:rPr>
          <w:t>Criminal Law (Domestic Violence) Amendment Bill (No.</w:t>
        </w:r>
        <w:r w:rsidR="000D26AA" w:rsidRPr="0075604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195CC5" w:rsidRPr="00756048">
          <w:rPr>
            <w:rStyle w:val="Hyperlink"/>
            <w:rFonts w:ascii="Arial" w:hAnsi="Arial" w:cs="Arial"/>
            <w:sz w:val="22"/>
            <w:szCs w:val="22"/>
          </w:rPr>
          <w:t>2) 2015</w:t>
        </w:r>
      </w:hyperlink>
    </w:p>
    <w:p w:rsidR="00E973BC" w:rsidRPr="00D6589B" w:rsidRDefault="00E66533">
      <w:pPr>
        <w:numPr>
          <w:ilvl w:val="0"/>
          <w:numId w:val="2"/>
        </w:numPr>
        <w:spacing w:before="120"/>
        <w:ind w:left="811"/>
        <w:jc w:val="both"/>
      </w:pPr>
      <w:hyperlink r:id="rId8" w:history="1">
        <w:r w:rsidR="004F44BD" w:rsidRPr="0075604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E973BC" w:rsidRPr="00D6589B" w:rsidSect="00F63973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74" w:rsidRDefault="003B0674" w:rsidP="00D6589B">
      <w:r>
        <w:separator/>
      </w:r>
    </w:p>
  </w:endnote>
  <w:endnote w:type="continuationSeparator" w:id="0">
    <w:p w:rsidR="003B0674" w:rsidRDefault="003B067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74" w:rsidRDefault="003B0674" w:rsidP="00D6589B">
      <w:r>
        <w:separator/>
      </w:r>
    </w:p>
  </w:footnote>
  <w:footnote w:type="continuationSeparator" w:id="0">
    <w:p w:rsidR="003B0674" w:rsidRDefault="003B067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AC" w:rsidRPr="00937A4A" w:rsidRDefault="00B272AC" w:rsidP="00B272A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B272AC" w:rsidRPr="00937A4A" w:rsidRDefault="00B272AC" w:rsidP="00B272A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B272AC" w:rsidRPr="00937A4A" w:rsidRDefault="00B272AC" w:rsidP="00B272A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</w:t>
    </w:r>
    <w:r w:rsidR="00F33C61">
      <w:rPr>
        <w:rFonts w:ascii="Arial" w:hAnsi="Arial" w:cs="Arial"/>
        <w:b/>
        <w:color w:val="auto"/>
        <w:sz w:val="22"/>
        <w:szCs w:val="22"/>
        <w:lang w:eastAsia="en-US"/>
      </w:rPr>
      <w:t>5</w:t>
    </w:r>
  </w:p>
  <w:p w:rsidR="00B272AC" w:rsidRPr="00F20EE0" w:rsidRDefault="00B272AC" w:rsidP="00B272A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Criminal Law (Domestic Violence) Amendment Bill (No. 2)</w:t>
    </w:r>
    <w:r w:rsidRPr="00C6233B">
      <w:rPr>
        <w:rFonts w:ascii="Arial" w:hAnsi="Arial" w:cs="Arial"/>
        <w:b/>
        <w:sz w:val="22"/>
        <w:szCs w:val="22"/>
        <w:u w:val="single"/>
      </w:rPr>
      <w:t xml:space="preserve"> 2015</w:t>
    </w:r>
  </w:p>
  <w:p w:rsidR="00B272AC" w:rsidRDefault="00B272AC" w:rsidP="00B272A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6233B"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  <w:r w:rsidRPr="00F20EE0">
      <w:rPr>
        <w:rFonts w:ascii="Arial" w:hAnsi="Arial" w:cs="Arial"/>
        <w:b/>
        <w:sz w:val="22"/>
        <w:szCs w:val="22"/>
        <w:u w:val="single"/>
      </w:rPr>
      <w:t xml:space="preserve"> </w:t>
    </w:r>
  </w:p>
  <w:p w:rsidR="00B272AC" w:rsidRPr="00C6233B" w:rsidRDefault="00B272AC" w:rsidP="00516F8C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Communities, Women and Youth, Minister for Child Safety and Minister for Multicultural Affairs</w:t>
    </w:r>
  </w:p>
  <w:p w:rsidR="00B272AC" w:rsidRDefault="00B272AC" w:rsidP="00B272A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4B26"/>
    <w:multiLevelType w:val="hybridMultilevel"/>
    <w:tmpl w:val="4D402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13500"/>
    <w:multiLevelType w:val="hybridMultilevel"/>
    <w:tmpl w:val="F9409BF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777A2"/>
    <w:multiLevelType w:val="hybridMultilevel"/>
    <w:tmpl w:val="A4A61D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32"/>
    <w:rsid w:val="00010732"/>
    <w:rsid w:val="000430DD"/>
    <w:rsid w:val="0005361E"/>
    <w:rsid w:val="00056521"/>
    <w:rsid w:val="00080F8F"/>
    <w:rsid w:val="0008575A"/>
    <w:rsid w:val="00087EBA"/>
    <w:rsid w:val="000B0FA4"/>
    <w:rsid w:val="000D26AA"/>
    <w:rsid w:val="000E5674"/>
    <w:rsid w:val="00102858"/>
    <w:rsid w:val="0013071F"/>
    <w:rsid w:val="001318FA"/>
    <w:rsid w:val="00140936"/>
    <w:rsid w:val="00154518"/>
    <w:rsid w:val="00174117"/>
    <w:rsid w:val="00195CC5"/>
    <w:rsid w:val="001E209B"/>
    <w:rsid w:val="001E7127"/>
    <w:rsid w:val="00203405"/>
    <w:rsid w:val="0020678B"/>
    <w:rsid w:val="0021344B"/>
    <w:rsid w:val="002B26B7"/>
    <w:rsid w:val="002B64A4"/>
    <w:rsid w:val="002C33E9"/>
    <w:rsid w:val="002D649F"/>
    <w:rsid w:val="002E4BE4"/>
    <w:rsid w:val="002F6298"/>
    <w:rsid w:val="00381DFD"/>
    <w:rsid w:val="003A13A1"/>
    <w:rsid w:val="003B0674"/>
    <w:rsid w:val="003B5871"/>
    <w:rsid w:val="00411A0B"/>
    <w:rsid w:val="0042150C"/>
    <w:rsid w:val="00437470"/>
    <w:rsid w:val="004814C3"/>
    <w:rsid w:val="004D716D"/>
    <w:rsid w:val="004E2F37"/>
    <w:rsid w:val="004E3AE1"/>
    <w:rsid w:val="004F44BD"/>
    <w:rsid w:val="00501C66"/>
    <w:rsid w:val="0050474C"/>
    <w:rsid w:val="00514859"/>
    <w:rsid w:val="005162A6"/>
    <w:rsid w:val="00516F8C"/>
    <w:rsid w:val="00550873"/>
    <w:rsid w:val="00565A3F"/>
    <w:rsid w:val="005A0D8B"/>
    <w:rsid w:val="00654B0A"/>
    <w:rsid w:val="006C0205"/>
    <w:rsid w:val="00702962"/>
    <w:rsid w:val="00732E22"/>
    <w:rsid w:val="00756048"/>
    <w:rsid w:val="00757B12"/>
    <w:rsid w:val="00795D52"/>
    <w:rsid w:val="008062F9"/>
    <w:rsid w:val="00821E64"/>
    <w:rsid w:val="008A4523"/>
    <w:rsid w:val="008A5C62"/>
    <w:rsid w:val="008F44CD"/>
    <w:rsid w:val="00904059"/>
    <w:rsid w:val="0093748E"/>
    <w:rsid w:val="009B7C19"/>
    <w:rsid w:val="009D151D"/>
    <w:rsid w:val="00A527A5"/>
    <w:rsid w:val="00A920DC"/>
    <w:rsid w:val="00AD7250"/>
    <w:rsid w:val="00AE69F0"/>
    <w:rsid w:val="00B272AC"/>
    <w:rsid w:val="00BA4282"/>
    <w:rsid w:val="00BB444F"/>
    <w:rsid w:val="00C043C4"/>
    <w:rsid w:val="00C07656"/>
    <w:rsid w:val="00C40FB0"/>
    <w:rsid w:val="00C6233B"/>
    <w:rsid w:val="00C75E67"/>
    <w:rsid w:val="00CB1501"/>
    <w:rsid w:val="00CE6FBA"/>
    <w:rsid w:val="00CF0D8A"/>
    <w:rsid w:val="00D212E6"/>
    <w:rsid w:val="00D3620E"/>
    <w:rsid w:val="00D6589B"/>
    <w:rsid w:val="00D75134"/>
    <w:rsid w:val="00D77B52"/>
    <w:rsid w:val="00DA704A"/>
    <w:rsid w:val="00DB6FE7"/>
    <w:rsid w:val="00DE61EC"/>
    <w:rsid w:val="00E40004"/>
    <w:rsid w:val="00E66533"/>
    <w:rsid w:val="00E973BC"/>
    <w:rsid w:val="00EB601E"/>
    <w:rsid w:val="00F0095A"/>
    <w:rsid w:val="00F10DF9"/>
    <w:rsid w:val="00F20EE0"/>
    <w:rsid w:val="00F33C61"/>
    <w:rsid w:val="00F63973"/>
    <w:rsid w:val="00F66AA9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01E"/>
    <w:pPr>
      <w:ind w:left="720"/>
      <w:contextualSpacing/>
    </w:pPr>
  </w:style>
  <w:style w:type="character" w:styleId="Hyperlink">
    <w:name w:val="Hyperlink"/>
    <w:rsid w:val="007560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1988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2335</CharactersWithSpaces>
  <SharedDoc>false</SharedDoc>
  <HyperlinkBase>https://www.cabinet.qld.gov.au/documents/2015/Nov/CRDVBill/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2016-03-14T01:36:00Z</cp:lastPrinted>
  <dcterms:created xsi:type="dcterms:W3CDTF">2017-10-25T01:34:00Z</dcterms:created>
  <dcterms:modified xsi:type="dcterms:W3CDTF">2018-03-06T01:30:00Z</dcterms:modified>
  <cp:category>Legislation,Domestic_and_Family_Violence,Domestic_Violence,Crime,Justice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1167381203</vt:i4>
  </property>
  <property fmtid="{D5CDD505-2E9C-101B-9397-08002B2CF9AE}" pid="3" name="_NewReviewCycle">
    <vt:lpwstr/>
  </property>
  <property fmtid="{D5CDD505-2E9C-101B-9397-08002B2CF9AE}" pid="4" name="_PreviousAdHocReviewCycleID">
    <vt:i4>-780088854</vt:i4>
  </property>
  <property fmtid="{D5CDD505-2E9C-101B-9397-08002B2CF9AE}" pid="5" name="_ReviewingToolsShownOnce">
    <vt:lpwstr/>
  </property>
</Properties>
</file>